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74226C">
        <w:rPr>
          <w:rFonts w:ascii="Times New Roman" w:hAnsi="Times New Roman" w:cs="Times New Roman"/>
          <w:sz w:val="26"/>
          <w:szCs w:val="26"/>
        </w:rPr>
        <w:t>17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74226C">
        <w:rPr>
          <w:rFonts w:ascii="Times New Roman" w:hAnsi="Times New Roman" w:cs="Times New Roman"/>
          <w:sz w:val="26"/>
          <w:szCs w:val="26"/>
        </w:rPr>
        <w:t>4798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74226C">
        <w:rPr>
          <w:rFonts w:ascii="Times New Roman" w:hAnsi="Times New Roman" w:cs="Times New Roman"/>
          <w:sz w:val="26"/>
          <w:szCs w:val="26"/>
        </w:rPr>
        <w:t>09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0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62E0D">
        <w:rPr>
          <w:rFonts w:ascii="Times New Roman" w:hAnsi="Times New Roman" w:cs="Times New Roman"/>
          <w:bCs/>
          <w:iCs/>
          <w:sz w:val="26"/>
          <w:szCs w:val="26"/>
        </w:rPr>
        <w:t>Ниёззода Хувайдулло Ашурмахмад, * года рождения, уроженца *, работающего ИП, зарегистрированного и проживающего по адресу: *</w:t>
      </w:r>
      <w:r w:rsidRPr="00962E0D">
        <w:rPr>
          <w:rFonts w:ascii="Times New Roman" w:hAnsi="Times New Roman" w:cs="Times New Roman"/>
          <w:sz w:val="26"/>
          <w:szCs w:val="26"/>
        </w:rPr>
        <w:t>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10.11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18810586230817004986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385B46">
        <w:rPr>
          <w:rFonts w:ascii="Times New Roman" w:hAnsi="Times New Roman" w:cs="Times New Roman"/>
          <w:color w:val="000000"/>
          <w:sz w:val="26"/>
          <w:szCs w:val="26"/>
        </w:rPr>
        <w:t>17.08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B2657B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="00385B46">
        <w:rPr>
          <w:rFonts w:ascii="Times New Roman" w:hAnsi="Times New Roman" w:cs="Times New Roman"/>
          <w:color w:val="000000"/>
          <w:sz w:val="26"/>
          <w:szCs w:val="26"/>
        </w:rPr>
        <w:t>11.09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385B46">
        <w:rPr>
          <w:rFonts w:ascii="Times New Roman" w:hAnsi="Times New Roman" w:cs="Times New Roman"/>
          <w:sz w:val="26"/>
          <w:szCs w:val="26"/>
        </w:rPr>
        <w:t>550821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74226C">
        <w:rPr>
          <w:rFonts w:ascii="Times New Roman" w:hAnsi="Times New Roman" w:cs="Times New Roman"/>
          <w:sz w:val="26"/>
          <w:szCs w:val="26"/>
        </w:rPr>
        <w:t>18810586230817004986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385B46">
        <w:rPr>
          <w:rFonts w:ascii="Times New Roman" w:hAnsi="Times New Roman" w:cs="Times New Roman"/>
          <w:color w:val="000000"/>
          <w:sz w:val="26"/>
          <w:szCs w:val="26"/>
        </w:rPr>
        <w:t>17.08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B2657B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B2657B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2657B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74226C" w:rsidR="0074226C">
        <w:rPr>
          <w:rFonts w:ascii="Times New Roman" w:hAnsi="Times New Roman" w:cs="Times New Roman"/>
          <w:sz w:val="26"/>
          <w:szCs w:val="26"/>
        </w:rPr>
        <w:t>0412365400175011142320137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385B46">
        <w:rPr>
          <w:rFonts w:ascii="Times New Roman" w:hAnsi="Times New Roman" w:cs="Times New Roman"/>
          <w:sz w:val="26"/>
          <w:szCs w:val="26"/>
        </w:rPr>
        <w:t>17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2934"/>
    <w:rsid w:val="00402B5C"/>
    <w:rsid w:val="004106A9"/>
    <w:rsid w:val="004201F7"/>
    <w:rsid w:val="004210C2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2E0D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F13442"/>
    <w:rsid w:val="00F171B2"/>
    <w:rsid w:val="00F25CF9"/>
    <w:rsid w:val="00F31A29"/>
    <w:rsid w:val="00F4561B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